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AD1E4">
      <w:pPr>
        <w:pStyle w:val="14"/>
        <w:keepNext w:val="0"/>
        <w:keepLines w:val="0"/>
        <w:pageBreakBefore w:val="0"/>
        <w:widowControl/>
        <w:kinsoku/>
        <w:wordWrap/>
        <w:overflowPunct/>
        <w:topLinePunct w:val="0"/>
        <w:autoSpaceDE/>
        <w:autoSpaceDN/>
        <w:bidi w:val="0"/>
        <w:adjustRightInd/>
        <w:snapToGrid/>
        <w:spacing w:before="260" w:beforeAutospacing="0" w:after="260" w:afterLines="-2147483648" w:afterAutospacing="0"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r>
        <w:rPr>
          <w:rFonts w:hint="eastAsia" w:asciiTheme="minorEastAsia" w:hAnsiTheme="minorEastAsia" w:eastAsiaTheme="minorEastAsia" w:cstheme="minorEastAsia"/>
          <w:b/>
          <w:bCs/>
          <w:sz w:val="30"/>
          <w:szCs w:val="30"/>
          <w:lang w:val="en-US" w:eastAsia="zh-CN"/>
        </w:rPr>
        <w:t>中国石油化工股份有限公司安庆分公司增设甲醇水路进厂流程项目竣工环境保护验收其他需要说明的事项</w:t>
      </w:r>
    </w:p>
    <w:p w14:paraId="0CDD6BEF">
      <w:pPr>
        <w:keepNext w:val="0"/>
        <w:keepLines w:val="0"/>
        <w:pageBreakBefore w:val="0"/>
        <w:widowControl/>
        <w:kinsoku/>
        <w:wordWrap/>
        <w:overflowPunct/>
        <w:topLinePunct w:val="0"/>
        <w:autoSpaceDE/>
        <w:autoSpaceDN/>
        <w:bidi w:val="0"/>
        <w:adjustRightInd/>
        <w:snapToGrid/>
        <w:spacing w:before="937" w:beforeLines="300" w:after="0" w:line="360" w:lineRule="auto"/>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根据《建设项目竣工环境保护验收暂行办法》，现将建设单位需要说明的具体内容和要求列举如下：</w:t>
      </w:r>
    </w:p>
    <w:p w14:paraId="6A5674F5">
      <w:pPr>
        <w:pStyle w:val="3"/>
        <w:keepNext/>
        <w:keepLines/>
        <w:pageBreakBefore w:val="0"/>
        <w:widowControl/>
        <w:kinsoku/>
        <w:wordWrap/>
        <w:overflowPunct/>
        <w:topLinePunct w:val="0"/>
        <w:autoSpaceDE/>
        <w:autoSpaceDN/>
        <w:bidi w:val="0"/>
        <w:adjustRightInd/>
        <w:snapToGrid/>
        <w:spacing w:before="157" w:beforeLines="50" w:after="625" w:afterLines="200" w:line="360" w:lineRule="auto"/>
        <w:jc w:val="both"/>
        <w:textAlignment w:val="auto"/>
        <w:rPr>
          <w:rFonts w:ascii="宋体" w:hAnsi="宋体"/>
          <w:b/>
          <w:bCs w:val="0"/>
          <w:color w:val="000000"/>
          <w:szCs w:val="24"/>
        </w:rPr>
      </w:pPr>
      <w:r>
        <w:rPr>
          <w:rFonts w:hint="default" w:ascii="Times New Roman" w:hAnsi="Times New Roman" w:cs="Times New Roman" w:eastAsiaTheme="majorEastAsia"/>
          <w:sz w:val="24"/>
          <w:szCs w:val="24"/>
        </w:rPr>
        <w:t>1环境保护设施设计、施工和验收过程简况</w:t>
      </w:r>
    </w:p>
    <w:p w14:paraId="2729D447">
      <w:pPr>
        <w:pStyle w:val="4"/>
        <w:keepNext/>
        <w:keepLines/>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1.1设计简况</w:t>
      </w:r>
    </w:p>
    <w:p w14:paraId="4E8B34E3">
      <w:pPr>
        <w:keepNext w:val="0"/>
        <w:keepLines w:val="0"/>
        <w:pageBreakBefore w:val="0"/>
        <w:widowControl w:val="0"/>
        <w:kinsoku/>
        <w:wordWrap/>
        <w:overflowPunct/>
        <w:topLinePunct w:val="0"/>
        <w:autoSpaceDE/>
        <w:autoSpaceDN/>
        <w:bidi w:val="0"/>
        <w:adjustRightInd/>
        <w:snapToGrid/>
        <w:spacing w:after="0" w:line="360" w:lineRule="auto"/>
        <w:ind w:right="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bookmarkStart w:id="0" w:name="_Toc28502"/>
      <w:r>
        <w:rPr>
          <w:rFonts w:hint="default" w:ascii="Times New Roman" w:hAnsi="Times New Roman" w:eastAsia="宋体" w:cs="Times New Roman"/>
          <w:color w:val="000000"/>
          <w:kern w:val="0"/>
          <w:sz w:val="24"/>
          <w:szCs w:val="24"/>
          <w:lang w:val="en-US" w:eastAsia="zh-CN" w:bidi="ar"/>
        </w:rPr>
        <w:t>202</w:t>
      </w:r>
      <w:r>
        <w:rPr>
          <w:rFonts w:hint="eastAsia" w:ascii="Times New Roman" w:hAnsi="Times New Roman" w:eastAsia="宋体" w:cs="Times New Roman"/>
          <w:color w:val="000000"/>
          <w:kern w:val="0"/>
          <w:sz w:val="24"/>
          <w:szCs w:val="24"/>
          <w:lang w:val="en-US" w:eastAsia="zh-CN" w:bidi="ar"/>
        </w:rPr>
        <w:t>5</w:t>
      </w:r>
      <w:r>
        <w:rPr>
          <w:rFonts w:hint="default" w:ascii="Times New Roman" w:hAnsi="Times New Roman" w:eastAsia="宋体" w:cs="Times New Roman"/>
          <w:color w:val="000000"/>
          <w:kern w:val="0"/>
          <w:sz w:val="24"/>
          <w:szCs w:val="24"/>
          <w:lang w:val="en-US" w:eastAsia="zh-CN" w:bidi="ar"/>
        </w:rPr>
        <w:t>年</w:t>
      </w:r>
      <w:r>
        <w:rPr>
          <w:rFonts w:hint="eastAsia" w:ascii="Times New Roman" w:hAnsi="Times New Roman" w:eastAsia="宋体" w:cs="Times New Roman"/>
          <w:color w:val="000000"/>
          <w:kern w:val="0"/>
          <w:sz w:val="24"/>
          <w:szCs w:val="24"/>
          <w:lang w:val="en-US" w:eastAsia="zh-CN" w:bidi="ar"/>
        </w:rPr>
        <w:t>2</w:t>
      </w:r>
      <w:r>
        <w:rPr>
          <w:rFonts w:hint="default" w:ascii="Times New Roman" w:hAnsi="Times New Roman" w:eastAsia="宋体" w:cs="Times New Roman"/>
          <w:color w:val="000000"/>
          <w:kern w:val="0"/>
          <w:sz w:val="24"/>
          <w:szCs w:val="24"/>
          <w:lang w:val="en-US" w:eastAsia="zh-CN" w:bidi="ar"/>
        </w:rPr>
        <w:t>月，</w:t>
      </w:r>
      <w:r>
        <w:rPr>
          <w:rFonts w:hint="eastAsia" w:ascii="宋体" w:hAnsi="宋体" w:eastAsia="宋体"/>
          <w:sz w:val="24"/>
          <w:lang w:eastAsia="zh-CN"/>
        </w:rPr>
        <w:t>中国石油化工股份有限公司安庆分公司</w:t>
      </w:r>
      <w:r>
        <w:rPr>
          <w:rFonts w:hint="default" w:ascii="Times New Roman" w:hAnsi="Times New Roman" w:eastAsia="宋体" w:cs="Times New Roman"/>
          <w:color w:val="000000"/>
          <w:kern w:val="0"/>
          <w:sz w:val="24"/>
          <w:szCs w:val="24"/>
          <w:lang w:val="en-US" w:eastAsia="zh-CN" w:bidi="ar"/>
        </w:rPr>
        <w:t>委托</w:t>
      </w:r>
      <w:r>
        <w:rPr>
          <w:rFonts w:hint="eastAsia" w:ascii="Times New Roman" w:hAnsi="Times New Roman" w:eastAsia="宋体" w:cs="Times New Roman"/>
          <w:color w:val="000000"/>
          <w:kern w:val="0"/>
          <w:sz w:val="24"/>
          <w:szCs w:val="24"/>
          <w:lang w:val="en-US" w:eastAsia="zh-CN" w:bidi="ar"/>
        </w:rPr>
        <w:t>安徽皖欣生态环境科技有限公司</w:t>
      </w:r>
      <w:r>
        <w:rPr>
          <w:rFonts w:hint="default" w:ascii="Times New Roman" w:hAnsi="Times New Roman" w:eastAsia="宋体" w:cs="Times New Roman"/>
          <w:color w:val="000000"/>
          <w:kern w:val="0"/>
          <w:sz w:val="24"/>
          <w:szCs w:val="24"/>
          <w:lang w:val="en-US" w:eastAsia="zh-CN" w:bidi="ar"/>
        </w:rPr>
        <w:t>编制了《</w:t>
      </w:r>
      <w:r>
        <w:rPr>
          <w:rFonts w:hint="eastAsia" w:ascii="Times New Roman" w:hAnsi="Times New Roman" w:eastAsia="宋体" w:cs="Times New Roman"/>
          <w:color w:val="000000"/>
          <w:kern w:val="0"/>
          <w:sz w:val="24"/>
          <w:szCs w:val="24"/>
          <w:lang w:val="en-US" w:eastAsia="zh-CN" w:bidi="ar"/>
        </w:rPr>
        <w:t>中国石油化工股份有限公司安庆分公司增设甲醇水路进厂流程项目</w:t>
      </w:r>
      <w:r>
        <w:rPr>
          <w:rFonts w:hint="default" w:ascii="Times New Roman" w:hAnsi="Times New Roman" w:eastAsia="宋体" w:cs="Times New Roman"/>
          <w:color w:val="000000"/>
          <w:kern w:val="0"/>
          <w:sz w:val="24"/>
          <w:szCs w:val="24"/>
          <w:lang w:val="en-US" w:eastAsia="zh-CN" w:bidi="ar"/>
        </w:rPr>
        <w:t>环境影响报告书》</w:t>
      </w:r>
      <w:r>
        <w:rPr>
          <w:rFonts w:hint="eastAsia" w:ascii="Times New Roman" w:hAnsi="Times New Roman" w:eastAsia="宋体" w:cs="Times New Roman"/>
          <w:color w:val="000000"/>
          <w:kern w:val="0"/>
          <w:sz w:val="24"/>
          <w:szCs w:val="24"/>
          <w:lang w:val="en-US" w:eastAsia="zh-CN" w:bidi="ar"/>
        </w:rPr>
        <w:t>，项目建设中落实了环评中的污染防治措施，列出环境保护投资概算的估算，项目实际投资329.22万元，环保投资为29万元，</w:t>
      </w:r>
      <w:r>
        <w:rPr>
          <w:rFonts w:hint="default" w:ascii="Times New Roman" w:hAnsi="Times New Roman" w:eastAsia="宋体" w:cs="Times New Roman"/>
          <w:color w:val="000000"/>
          <w:kern w:val="0"/>
          <w:sz w:val="24"/>
          <w:szCs w:val="24"/>
          <w:lang w:val="en-US" w:eastAsia="zh-CN" w:bidi="ar"/>
        </w:rPr>
        <w:t>占总投资的</w:t>
      </w:r>
      <w:r>
        <w:rPr>
          <w:rFonts w:hint="eastAsia" w:ascii="Times New Roman" w:hAnsi="Times New Roman" w:eastAsia="宋体" w:cs="Times New Roman"/>
          <w:color w:val="000000"/>
          <w:kern w:val="0"/>
          <w:sz w:val="24"/>
          <w:szCs w:val="24"/>
          <w:lang w:val="en-US" w:eastAsia="zh-CN" w:bidi="ar"/>
        </w:rPr>
        <w:t>8.81</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w:t>
      </w:r>
    </w:p>
    <w:bookmarkEnd w:id="0"/>
    <w:p w14:paraId="25BB103C">
      <w:pPr>
        <w:pStyle w:val="4"/>
        <w:keepNext/>
        <w:keepLines/>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bCs w:val="0"/>
          <w:color w:val="000000"/>
          <w:sz w:val="24"/>
          <w:szCs w:val="24"/>
        </w:rPr>
      </w:pPr>
      <w:r>
        <w:rPr>
          <w:rFonts w:hint="eastAsia" w:ascii="Times New Roman" w:hAnsi="Times New Roman" w:cs="Times New Roman"/>
          <w:b/>
          <w:bCs w:val="0"/>
          <w:color w:val="000000"/>
          <w:sz w:val="24"/>
          <w:szCs w:val="24"/>
        </w:rPr>
        <w:t>1.2施工简况</w:t>
      </w:r>
    </w:p>
    <w:p w14:paraId="7F54ECCE">
      <w:pPr>
        <w:keepNext w:val="0"/>
        <w:keepLines w:val="0"/>
        <w:pageBreakBefore w:val="0"/>
        <w:widowControl w:val="0"/>
        <w:kinsoku/>
        <w:wordWrap/>
        <w:overflowPunct/>
        <w:topLinePunct w:val="0"/>
        <w:autoSpaceDE/>
        <w:autoSpaceDN/>
        <w:bidi w:val="0"/>
        <w:adjustRightInd/>
        <w:snapToGrid/>
        <w:spacing w:after="0" w:line="360" w:lineRule="auto"/>
        <w:ind w:right="0"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项目严格执行建设项目环保设施“三同时”制度。</w:t>
      </w:r>
    </w:p>
    <w:p w14:paraId="7EDEA281">
      <w:pPr>
        <w:keepNext w:val="0"/>
        <w:keepLines w:val="0"/>
        <w:pageBreakBefore w:val="0"/>
        <w:widowControl w:val="0"/>
        <w:kinsoku/>
        <w:wordWrap/>
        <w:overflowPunct/>
        <w:topLinePunct w:val="0"/>
        <w:autoSpaceDE/>
        <w:autoSpaceDN/>
        <w:bidi w:val="0"/>
        <w:adjustRightInd/>
        <w:snapToGrid/>
        <w:spacing w:after="0" w:line="360" w:lineRule="auto"/>
        <w:ind w:right="0"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2025年9月3日取得批复后，2025年9月开工建设，2025年11月25日竣工，2025年11月26日至2026年11月25日进行试运行调试。项目委托安徽实华工程技术股份有限公司进行设计，并将环保工程设计纳入总体设计；建设单位委托中国化学工程第十四建设有限公司进行工程施工，将环境保护设施纳入了施工合同，同时环境保护设施的建设进度和资金得到了保证，项目建设过程中组织实施了环境影响报告书及其审批部门审批决定中提出的环境保护对策措施。</w:t>
      </w:r>
    </w:p>
    <w:p w14:paraId="1E4E5268">
      <w:pPr>
        <w:pStyle w:val="4"/>
        <w:keepNext/>
        <w:keepLines/>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imes New Roman" w:hAnsi="Times New Roman" w:cs="Times New Roman"/>
          <w:b/>
          <w:bCs w:val="0"/>
          <w:color w:val="000000"/>
          <w:sz w:val="24"/>
          <w:szCs w:val="24"/>
        </w:rPr>
      </w:pPr>
      <w:r>
        <w:rPr>
          <w:rFonts w:hint="eastAsia" w:ascii="Times New Roman" w:hAnsi="Times New Roman" w:cs="Times New Roman"/>
          <w:b/>
          <w:bCs w:val="0"/>
          <w:color w:val="000000"/>
          <w:sz w:val="24"/>
          <w:szCs w:val="24"/>
        </w:rPr>
        <w:t>1.3验收过程简况</w:t>
      </w:r>
    </w:p>
    <w:p w14:paraId="66DC9A2B">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2026年1月中国石油化工股份有限公司安庆分公司成立了验收小组，对建设项目开展了细致的自查工作，依据环评报告书及其批复的要求编制了监测方案，并委托</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安徽旭生</w:t>
      </w:r>
      <w:r>
        <w:rPr>
          <w:rFonts w:hint="eastAsia" w:ascii="Times New Roman" w:hAnsi="Times New Roman" w:eastAsia="宋体" w:cs="Times New Roman"/>
          <w:bCs/>
          <w:color w:val="auto"/>
          <w:sz w:val="24"/>
          <w:szCs w:val="24"/>
          <w:highlight w:val="none"/>
          <w:lang w:val="en-US" w:eastAsia="zh-CN"/>
        </w:rPr>
        <w:t>环境科技有限公司对项目进行验收检测。</w:t>
      </w:r>
    </w:p>
    <w:p w14:paraId="1EB3F979">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202</w:t>
      </w:r>
      <w:r>
        <w:rPr>
          <w:rFonts w:hint="eastAsia" w:ascii="Times New Roman" w:hAnsi="Times New Roman" w:eastAsia="宋体" w:cs="Times New Roman"/>
          <w:bCs/>
          <w:color w:val="auto"/>
          <w:sz w:val="24"/>
          <w:szCs w:val="24"/>
          <w:highlight w:val="none"/>
          <w:lang w:val="en-US" w:eastAsia="zh-CN"/>
        </w:rPr>
        <w:t>6</w:t>
      </w:r>
      <w:r>
        <w:rPr>
          <w:rFonts w:hint="default" w:ascii="Times New Roman" w:hAnsi="Times New Roman" w:eastAsia="宋体" w:cs="Times New Roman"/>
          <w:bCs/>
          <w:color w:val="auto"/>
          <w:sz w:val="24"/>
          <w:szCs w:val="24"/>
          <w:highlight w:val="none"/>
          <w:lang w:val="en-US" w:eastAsia="zh-CN"/>
        </w:rPr>
        <w:t>年</w:t>
      </w:r>
      <w:r>
        <w:rPr>
          <w:rFonts w:hint="eastAsia" w:ascii="Times New Roman" w:hAnsi="Times New Roman" w:eastAsia="宋体"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lang w:val="en-US" w:eastAsia="zh-CN"/>
        </w:rPr>
        <w:t>月</w:t>
      </w:r>
      <w:r>
        <w:rPr>
          <w:rFonts w:hint="eastAsia" w:ascii="Times New Roman" w:hAnsi="Times New Roman" w:eastAsia="宋体" w:cs="Times New Roman"/>
          <w:bCs/>
          <w:color w:val="auto"/>
          <w:sz w:val="24"/>
          <w:szCs w:val="24"/>
          <w:highlight w:val="none"/>
          <w:lang w:val="en-US" w:eastAsia="zh-CN"/>
        </w:rPr>
        <w:t>2</w:t>
      </w:r>
      <w:r>
        <w:rPr>
          <w:rFonts w:hint="default" w:ascii="Times New Roman" w:hAnsi="Times New Roman" w:eastAsia="宋体" w:cs="Times New Roman"/>
          <w:bCs/>
          <w:color w:val="auto"/>
          <w:sz w:val="24"/>
          <w:szCs w:val="24"/>
          <w:highlight w:val="none"/>
          <w:lang w:val="en-US" w:eastAsia="zh-CN"/>
        </w:rPr>
        <w:t>日至202</w:t>
      </w:r>
      <w:r>
        <w:rPr>
          <w:rFonts w:hint="eastAsia" w:ascii="Times New Roman" w:hAnsi="Times New Roman" w:eastAsia="宋体" w:cs="Times New Roman"/>
          <w:bCs/>
          <w:color w:val="auto"/>
          <w:sz w:val="24"/>
          <w:szCs w:val="24"/>
          <w:highlight w:val="none"/>
          <w:lang w:val="en-US" w:eastAsia="zh-CN"/>
        </w:rPr>
        <w:t>6</w:t>
      </w:r>
      <w:r>
        <w:rPr>
          <w:rFonts w:hint="default" w:ascii="Times New Roman" w:hAnsi="Times New Roman" w:eastAsia="宋体" w:cs="Times New Roman"/>
          <w:bCs/>
          <w:color w:val="auto"/>
          <w:sz w:val="24"/>
          <w:szCs w:val="24"/>
          <w:highlight w:val="none"/>
          <w:lang w:val="en-US" w:eastAsia="zh-CN"/>
        </w:rPr>
        <w:t>年</w:t>
      </w:r>
      <w:r>
        <w:rPr>
          <w:rFonts w:hint="eastAsia" w:ascii="Times New Roman" w:hAnsi="Times New Roman" w:eastAsia="宋体"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lang w:val="en-US" w:eastAsia="zh-CN"/>
        </w:rPr>
        <w:t>月</w:t>
      </w:r>
      <w:r>
        <w:rPr>
          <w:rFonts w:hint="eastAsia" w:ascii="Times New Roman" w:hAnsi="Times New Roman" w:eastAsia="宋体" w:cs="Times New Roman"/>
          <w:bCs/>
          <w:color w:val="auto"/>
          <w:sz w:val="24"/>
          <w:szCs w:val="24"/>
          <w:highlight w:val="none"/>
          <w:lang w:val="en-US" w:eastAsia="zh-CN"/>
        </w:rPr>
        <w:t>15</w:t>
      </w:r>
      <w:r>
        <w:rPr>
          <w:rFonts w:hint="default" w:ascii="Times New Roman" w:hAnsi="Times New Roman" w:eastAsia="宋体" w:cs="Times New Roman"/>
          <w:bCs/>
          <w:color w:val="auto"/>
          <w:sz w:val="24"/>
          <w:szCs w:val="24"/>
          <w:highlight w:val="none"/>
          <w:lang w:val="en-US" w:eastAsia="zh-CN"/>
        </w:rPr>
        <w:t>日对</w:t>
      </w:r>
      <w:r>
        <w:rPr>
          <w:rFonts w:hint="eastAsia" w:ascii="Times New Roman" w:hAnsi="Times New Roman" w:eastAsia="宋体" w:cs="Times New Roman"/>
          <w:bCs/>
          <w:color w:val="auto"/>
          <w:sz w:val="24"/>
          <w:szCs w:val="24"/>
          <w:highlight w:val="none"/>
          <w:lang w:val="en-US" w:eastAsia="zh-CN"/>
        </w:rPr>
        <w:t>项目</w:t>
      </w:r>
      <w:r>
        <w:rPr>
          <w:rFonts w:hint="default" w:ascii="Times New Roman" w:hAnsi="Times New Roman" w:eastAsia="宋体" w:cs="Times New Roman"/>
          <w:bCs/>
          <w:color w:val="auto"/>
          <w:sz w:val="24"/>
          <w:szCs w:val="24"/>
          <w:highlight w:val="none"/>
          <w:lang w:val="en-US" w:eastAsia="zh-CN"/>
        </w:rPr>
        <w:t>废水、废气、噪声</w:t>
      </w:r>
      <w:r>
        <w:rPr>
          <w:rFonts w:hint="eastAsia" w:ascii="Times New Roman" w:hAnsi="Times New Roman" w:eastAsia="宋体" w:cs="Times New Roman"/>
          <w:bCs/>
          <w:color w:val="auto"/>
          <w:sz w:val="24"/>
          <w:szCs w:val="24"/>
          <w:highlight w:val="none"/>
          <w:lang w:val="en-US" w:eastAsia="zh-CN"/>
        </w:rPr>
        <w:t>、区域大气环境、地下水环境及土壤环境</w:t>
      </w:r>
      <w:r>
        <w:rPr>
          <w:rFonts w:hint="default" w:ascii="Times New Roman" w:hAnsi="Times New Roman" w:eastAsia="宋体" w:cs="Times New Roman"/>
          <w:bCs/>
          <w:color w:val="auto"/>
          <w:sz w:val="24"/>
          <w:szCs w:val="24"/>
          <w:highlight w:val="none"/>
          <w:lang w:val="en-US" w:eastAsia="zh-CN"/>
        </w:rPr>
        <w:t>进行了现场采样和监测</w:t>
      </w:r>
      <w:r>
        <w:rPr>
          <w:rFonts w:hint="eastAsia" w:ascii="Times New Roman" w:hAnsi="Times New Roman" w:eastAsia="宋体" w:cs="Times New Roman"/>
          <w:bCs/>
          <w:color w:val="auto"/>
          <w:sz w:val="24"/>
          <w:szCs w:val="24"/>
          <w:highlight w:val="none"/>
          <w:lang w:val="en-US" w:eastAsia="zh-CN"/>
        </w:rPr>
        <w:t>及实验室分析，并于2026年4月23日出具检测报告（编号：AHXS202602006-1。</w:t>
      </w:r>
    </w:p>
    <w:p w14:paraId="5EAEFCA2">
      <w:pPr>
        <w:keepNext w:val="0"/>
        <w:keepLines w:val="0"/>
        <w:pageBreakBefore w:val="0"/>
        <w:widowControl/>
        <w:suppressLineNumbers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根据验收监测结果，验收组编制了《中国石油化工股份有限公司安庆分公司增设甲醇水路进厂流程项目（阶段性）竣工环境保护验收调查报告》。</w:t>
      </w:r>
    </w:p>
    <w:p w14:paraId="74E209CB">
      <w:pPr>
        <w:keepNext w:val="0"/>
        <w:keepLines w:val="0"/>
        <w:pageBreakBefore w:val="0"/>
        <w:widowControl w:val="0"/>
        <w:kinsoku/>
        <w:wordWrap/>
        <w:overflowPunct/>
        <w:topLinePunct w:val="0"/>
        <w:autoSpaceDE/>
        <w:autoSpaceDN/>
        <w:bidi w:val="0"/>
        <w:adjustRightInd/>
        <w:snapToGrid/>
        <w:spacing w:after="0" w:line="360" w:lineRule="auto"/>
        <w:ind w:right="0"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按《建设项目竣工环境保护验收暂行办法》中第八条的九项逐一对照核查，本项目不存在其九项情况，验收合格。</w:t>
      </w:r>
    </w:p>
    <w:p w14:paraId="0BF907F1">
      <w:pPr>
        <w:pStyle w:val="4"/>
        <w:keepNext/>
        <w:keepLines/>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imes New Roman" w:hAnsi="Times New Roman" w:cs="Times New Roman"/>
          <w:b/>
          <w:bCs w:val="0"/>
          <w:color w:val="000000"/>
          <w:sz w:val="24"/>
          <w:szCs w:val="24"/>
        </w:rPr>
      </w:pPr>
      <w:r>
        <w:rPr>
          <w:rFonts w:hint="eastAsia" w:ascii="Times New Roman" w:hAnsi="Times New Roman" w:cs="Times New Roman"/>
          <w:b/>
          <w:bCs w:val="0"/>
          <w:color w:val="000000"/>
          <w:sz w:val="24"/>
          <w:szCs w:val="24"/>
        </w:rPr>
        <w:t>1.4公众反馈意见及处理情况</w:t>
      </w:r>
    </w:p>
    <w:p w14:paraId="17DD6D81">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t>建设项目设计、施工和验收期间未收到过公众反馈意见或投诉、反馈或投诉的内容。</w:t>
      </w:r>
    </w:p>
    <w:p w14:paraId="41A2ABFF">
      <w:pPr>
        <w:pStyle w:val="3"/>
        <w:keepNext/>
        <w:keepLines/>
        <w:pageBreakBefore w:val="0"/>
        <w:widowControl/>
        <w:kinsoku/>
        <w:wordWrap/>
        <w:overflowPunct/>
        <w:topLinePunct w:val="0"/>
        <w:autoSpaceDE/>
        <w:autoSpaceDN/>
        <w:bidi w:val="0"/>
        <w:adjustRightInd/>
        <w:snapToGrid/>
        <w:spacing w:before="157" w:beforeLines="50" w:after="625" w:afterLines="200" w:line="360" w:lineRule="auto"/>
        <w:jc w:val="both"/>
        <w:textAlignment w:val="auto"/>
        <w:rPr>
          <w:rFonts w:hint="default" w:ascii="Times New Roman" w:hAnsi="Times New Roman" w:cs="Times New Roman" w:eastAsiaTheme="majorEastAsia"/>
          <w:sz w:val="24"/>
          <w:szCs w:val="24"/>
        </w:rPr>
      </w:pPr>
      <w:r>
        <w:rPr>
          <w:rFonts w:hint="eastAsia" w:ascii="Times New Roman" w:hAnsi="Times New Roman" w:cs="Times New Roman" w:eastAsiaTheme="majorEastAsia"/>
          <w:sz w:val="24"/>
          <w:szCs w:val="24"/>
        </w:rPr>
        <w:t>2其他环境保护措施的落实情况</w:t>
      </w:r>
    </w:p>
    <w:p w14:paraId="389058C4">
      <w:pPr>
        <w:pStyle w:val="4"/>
        <w:keepNext/>
        <w:keepLines/>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imes New Roman" w:hAnsi="Times New Roman" w:cs="Times New Roman"/>
          <w:b/>
          <w:bCs w:val="0"/>
          <w:color w:val="000000"/>
          <w:sz w:val="24"/>
          <w:szCs w:val="24"/>
        </w:rPr>
      </w:pPr>
      <w:r>
        <w:rPr>
          <w:rFonts w:hint="eastAsia" w:ascii="Times New Roman" w:hAnsi="Times New Roman" w:cs="Times New Roman"/>
          <w:b/>
          <w:bCs w:val="0"/>
          <w:color w:val="000000"/>
          <w:sz w:val="24"/>
          <w:szCs w:val="24"/>
        </w:rPr>
        <w:t>2.1制度措施落实情况</w:t>
      </w:r>
    </w:p>
    <w:p w14:paraId="66B54D7B">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（1）环境风险防范措施</w:t>
      </w:r>
    </w:p>
    <w:p w14:paraId="305EA6DB">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项目增压泵拆除及安装、新增支线管廊建设基本不涉及风险事故；管道清洗过程的可能突发环境风险事故主要为苯乙烯的泄漏，</w:t>
      </w:r>
      <w:r>
        <w:rPr>
          <w:rFonts w:hint="eastAsia" w:ascii="Times New Roman" w:hAnsi="Times New Roman" w:cs="Times New Roman" w:eastAsiaTheme="minorEastAsia"/>
          <w:sz w:val="24"/>
          <w:szCs w:val="24"/>
          <w:lang w:val="en-US" w:eastAsia="zh-CN"/>
        </w:rPr>
        <w:t>施工单位应</w:t>
      </w:r>
      <w:r>
        <w:rPr>
          <w:rFonts w:hint="default" w:ascii="Times New Roman" w:hAnsi="Times New Roman" w:cs="Times New Roman" w:eastAsiaTheme="minorEastAsia"/>
          <w:sz w:val="24"/>
          <w:szCs w:val="24"/>
          <w:lang w:val="en-US" w:eastAsia="zh-CN"/>
        </w:rPr>
        <w:t>配备相应的应急设施，以应对可能发生的苯乙烯泄漏等突发情况，防止事故废水直接外排，避免对周边土壤、水体等造成污染。同时，加强对清洗过程的环境管理，定期对相关环保设施运行情况和污染物排放情况进行监测，确保各项环保要求落实到位。</w:t>
      </w:r>
    </w:p>
    <w:p w14:paraId="385E0693">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实际操作过程，未发生突发环境事件。</w:t>
      </w:r>
    </w:p>
    <w:p w14:paraId="72B6736A">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（2）环境监测计划</w:t>
      </w:r>
    </w:p>
    <w:p w14:paraId="678C199C">
      <w:pPr>
        <w:keepNext w:val="0"/>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cs="Times New Roman" w:eastAsiaTheme="minorEastAsia"/>
          <w:color w:val="auto"/>
          <w:sz w:val="24"/>
          <w:szCs w:val="24"/>
          <w:highlight w:val="none"/>
          <w:vertAlign w:val="baseline"/>
          <w:lang w:val="en-US" w:eastAsia="zh-CN"/>
        </w:rPr>
      </w:pPr>
      <w:r>
        <w:rPr>
          <w:rFonts w:hint="eastAsia" w:ascii="Times New Roman" w:hAnsi="Times New Roman" w:cs="Times New Roman" w:eastAsiaTheme="minorEastAsia"/>
          <w:color w:val="auto"/>
          <w:sz w:val="24"/>
          <w:szCs w:val="24"/>
          <w:highlight w:val="none"/>
          <w:vertAlign w:val="baseline"/>
          <w:lang w:val="en-US" w:eastAsia="zh-CN"/>
        </w:rPr>
        <w:t>建设单位已按《排污单位自行监测技术指南总则》（</w:t>
      </w:r>
      <w:r>
        <w:rPr>
          <w:rFonts w:hint="default" w:ascii="Times New Roman" w:hAnsi="Times New Roman" w:cs="Times New Roman" w:eastAsiaTheme="minorEastAsia"/>
          <w:color w:val="auto"/>
          <w:sz w:val="24"/>
          <w:szCs w:val="24"/>
          <w:highlight w:val="none"/>
          <w:vertAlign w:val="baseline"/>
          <w:lang w:val="en-US" w:eastAsia="zh-CN"/>
        </w:rPr>
        <w:t>HJ819-2017</w:t>
      </w:r>
      <w:r>
        <w:rPr>
          <w:rFonts w:hint="eastAsia" w:ascii="Times New Roman" w:hAnsi="Times New Roman" w:cs="Times New Roman" w:eastAsiaTheme="minorEastAsia"/>
          <w:color w:val="auto"/>
          <w:sz w:val="24"/>
          <w:szCs w:val="24"/>
          <w:highlight w:val="none"/>
          <w:vertAlign w:val="baseline"/>
          <w:lang w:val="en-US" w:eastAsia="zh-CN"/>
        </w:rPr>
        <w:t>）及《排污许可证申请与核发技术规范石化工业》（HJ853-2017）要求以及根据《环境影响评价技术导则大气环境》（HJ2.2-2018）、《环境影响评价技术导则地下水环境》（HJ610-2016）、《环境影响评价技术导则土壤环境(试行)》（HJ964-2018），结合项目特征，制定自行监测计划。</w:t>
      </w:r>
    </w:p>
    <w:p w14:paraId="45D7B661">
      <w:pPr>
        <w:pStyle w:val="4"/>
        <w:keepNext/>
        <w:keepLines/>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Times New Roman" w:hAnsi="Times New Roman" w:cs="Times New Roman"/>
          <w:b/>
          <w:bCs w:val="0"/>
          <w:color w:val="000000"/>
          <w:sz w:val="24"/>
          <w:szCs w:val="24"/>
          <w:lang w:val="en-US" w:eastAsia="zh-CN"/>
        </w:rPr>
      </w:pPr>
      <w:r>
        <w:rPr>
          <w:rFonts w:hint="eastAsia" w:ascii="Times New Roman" w:hAnsi="Times New Roman" w:cs="Times New Roman"/>
          <w:b/>
          <w:bCs w:val="0"/>
          <w:color w:val="000000"/>
          <w:sz w:val="24"/>
          <w:szCs w:val="24"/>
          <w:lang w:val="en-US" w:eastAsia="zh-CN"/>
        </w:rPr>
        <w:t>2.2配套措施落实情况</w:t>
      </w:r>
    </w:p>
    <w:p w14:paraId="1AFFC8E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right="0" w:rightChars="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lang w:val="en-US" w:eastAsia="zh-CN" w:bidi="ar-SA"/>
        </w:rPr>
        <w:t>（1）</w:t>
      </w:r>
      <w:r>
        <w:rPr>
          <w:rFonts w:hint="eastAsia" w:ascii="Times New Roman" w:hAnsi="Times New Roman" w:eastAsia="宋体" w:cs="Times New Roman"/>
          <w:color w:val="auto"/>
          <w:sz w:val="24"/>
          <w:szCs w:val="24"/>
          <w:highlight w:val="none"/>
          <w:lang w:val="en-US" w:eastAsia="zh-CN"/>
        </w:rPr>
        <w:t>区域削减及淘汰落后产能</w:t>
      </w:r>
    </w:p>
    <w:p w14:paraId="14F8CF1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200" w:right="0" w:rightChars="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本项目不涉及区域削减及淘汰落后产能。</w:t>
      </w:r>
    </w:p>
    <w:p w14:paraId="0D800FA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right="0" w:rightChars="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lang w:val="en-US" w:eastAsia="zh-CN" w:bidi="ar-SA"/>
        </w:rPr>
        <w:t>（2）</w:t>
      </w:r>
      <w:r>
        <w:rPr>
          <w:rFonts w:hint="eastAsia" w:ascii="Times New Roman" w:hAnsi="Times New Roman" w:eastAsia="宋体" w:cs="Times New Roman"/>
          <w:color w:val="auto"/>
          <w:sz w:val="24"/>
          <w:szCs w:val="24"/>
          <w:highlight w:val="none"/>
          <w:lang w:val="en-US" w:eastAsia="zh-CN"/>
        </w:rPr>
        <w:t>防护距离及居民搬迁</w:t>
      </w:r>
    </w:p>
    <w:p w14:paraId="67C8FEF4">
      <w:pPr>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项目环境防护距离内不涉及环境敏感目标。</w:t>
      </w:r>
    </w:p>
    <w:p w14:paraId="242E1DD7">
      <w:pPr>
        <w:pStyle w:val="3"/>
        <w:keepNext/>
        <w:keepLines/>
        <w:pageBreakBefore w:val="0"/>
        <w:widowControl/>
        <w:kinsoku/>
        <w:wordWrap/>
        <w:overflowPunct/>
        <w:topLinePunct w:val="0"/>
        <w:autoSpaceDE/>
        <w:autoSpaceDN/>
        <w:bidi w:val="0"/>
        <w:adjustRightInd/>
        <w:snapToGrid/>
        <w:spacing w:before="157" w:beforeLines="50" w:after="625" w:afterLines="200" w:line="360" w:lineRule="auto"/>
        <w:jc w:val="both"/>
        <w:textAlignment w:val="auto"/>
        <w:rPr>
          <w:rFonts w:hint="eastAsia" w:ascii="Times New Roman" w:hAnsi="Times New Roman" w:cs="Times New Roman" w:eastAsiaTheme="majorEastAsia"/>
          <w:sz w:val="24"/>
          <w:szCs w:val="24"/>
        </w:rPr>
      </w:pPr>
      <w:r>
        <w:rPr>
          <w:rFonts w:hint="eastAsia" w:ascii="Times New Roman" w:hAnsi="Times New Roman" w:cs="Times New Roman" w:eastAsiaTheme="majorEastAsia"/>
          <w:sz w:val="24"/>
          <w:szCs w:val="24"/>
        </w:rPr>
        <w:t>3整改工作情况</w:t>
      </w:r>
    </w:p>
    <w:p w14:paraId="53541C84">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80" w:firstLineChars="200"/>
        <w:jc w:val="both"/>
        <w:textAlignment w:val="auto"/>
        <w:rPr>
          <w:rFonts w:hint="default" w:ascii="Times New Roman" w:hAnsi="Times New Roman" w:eastAsia="宋体"/>
          <w:sz w:val="24"/>
          <w:szCs w:val="24"/>
          <w:lang w:val="en-US" w:eastAsia="zh-CN"/>
        </w:rPr>
      </w:pPr>
      <w:r>
        <w:rPr>
          <w:rFonts w:hint="eastAsia" w:ascii="Times New Roman" w:hAnsi="Times New Roman" w:eastAsia="宋体" w:cs="Times New Roman"/>
          <w:color w:val="auto"/>
          <w:sz w:val="24"/>
          <w:szCs w:val="24"/>
          <w:lang w:val="en-US" w:eastAsia="zh-CN"/>
        </w:rPr>
        <w:t>本次验收未提出整改项。</w:t>
      </w:r>
    </w:p>
    <w:p w14:paraId="32B24CCB">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80" w:firstLineChars="200"/>
        <w:jc w:val="both"/>
        <w:textAlignment w:val="auto"/>
        <w:rPr>
          <w:rFonts w:hint="eastAsia" w:ascii="Times New Roman" w:hAnsi="Times New Roman" w:eastAsia="宋体" w:cs="Times New Roman"/>
          <w:color w:val="auto"/>
          <w:sz w:val="24"/>
          <w:szCs w:val="24"/>
          <w:highlight w:val="none"/>
          <w:lang w:val="en-US" w:eastAsia="zh-CN"/>
        </w:rPr>
      </w:pPr>
    </w:p>
    <w:p w14:paraId="09C3FA20">
      <w:pPr>
        <w:pStyle w:val="18"/>
        <w:wordWrap/>
        <w:jc w:val="right"/>
        <w:rPr>
          <w:rFonts w:hint="eastAsia" w:ascii="Times New Roman" w:cs="Times New Roman"/>
          <w:color w:val="auto"/>
          <w:sz w:val="24"/>
          <w:szCs w:val="24"/>
          <w:lang w:val="en-US" w:eastAsia="zh-CN"/>
        </w:rPr>
      </w:pPr>
      <w:r>
        <w:rPr>
          <w:rFonts w:hint="eastAsia" w:ascii="Times New Roman" w:cs="Times New Roman"/>
          <w:color w:val="auto"/>
          <w:sz w:val="24"/>
          <w:szCs w:val="24"/>
          <w:lang w:val="en-US" w:eastAsia="zh-CN"/>
        </w:rPr>
        <w:t>中国石油化工股份有限公司安庆分公司</w:t>
      </w:r>
    </w:p>
    <w:p w14:paraId="1E6BF241">
      <w:pPr>
        <w:pStyle w:val="18"/>
        <w:wordWrap/>
        <w:jc w:val="right"/>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cs="Times New Roman" w:eastAsiaTheme="minorEastAsia"/>
          <w:color w:val="auto"/>
          <w:sz w:val="24"/>
          <w:szCs w:val="24"/>
          <w:lang w:val="en-US" w:eastAsia="zh-CN" w:bidi="ar-SA"/>
        </w:rPr>
        <w:t>2026年9月29</w:t>
      </w:r>
      <w:bookmarkStart w:id="1" w:name="_GoBack"/>
      <w:bookmarkEnd w:id="1"/>
      <w:r>
        <w:rPr>
          <w:rFonts w:hint="eastAsia" w:ascii="Times New Roman" w:cs="Times New Roman" w:eastAsiaTheme="minorEastAsia"/>
          <w:color w:val="auto"/>
          <w:sz w:val="24"/>
          <w:szCs w:val="24"/>
          <w:lang w:val="en-US" w:eastAsia="zh-CN" w:bidi="ar-SA"/>
        </w:rPr>
        <w:t>日</w:t>
      </w:r>
    </w:p>
    <w:p w14:paraId="1D7168F2">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0" w:firstLineChars="0"/>
        <w:jc w:val="center"/>
        <w:textAlignment w:val="auto"/>
        <w:rPr>
          <w:rFonts w:hint="eastAsia" w:ascii="Times New Roman" w:hAnsi="Times New Roman" w:eastAsia="宋体" w:cs="Times New Roman"/>
          <w:color w:val="auto"/>
          <w:sz w:val="24"/>
          <w:szCs w:val="24"/>
          <w:highlight w:val="none"/>
          <w:lang w:val="en-US" w:eastAsia="zh-CN"/>
        </w:rPr>
      </w:pPr>
    </w:p>
    <w:p w14:paraId="3616020A">
      <w:pPr>
        <w:pStyle w:val="18"/>
        <w:wordWrap/>
        <w:jc w:val="right"/>
        <w:rPr>
          <w:rFonts w:hint="default" w:ascii="Times New Roman" w:hAnsi="Times New Roman" w:cs="Times New Roman" w:eastAsiaTheme="minorEastAsia"/>
          <w:color w:val="auto"/>
          <w:sz w:val="24"/>
          <w:szCs w:val="24"/>
          <w:lang w:val="en-US" w:eastAsia="zh-CN" w:bidi="ar-SA"/>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04529">
    <w:pPr>
      <w:keepNext w:val="0"/>
      <w:keepLines w:val="0"/>
      <w:pageBreakBefore w:val="0"/>
      <w:widowControl/>
      <w:kinsoku/>
      <w:wordWrap/>
      <w:overflowPunct/>
      <w:topLinePunct w:val="0"/>
      <w:bidi w:val="0"/>
      <w:adjustRightInd/>
      <w:snapToGrid/>
      <w:spacing w:after="0"/>
      <w:jc w:val="center"/>
      <w:textAlignment w:val="auto"/>
    </w:pPr>
    <w:r>
      <w:rPr>
        <w:sz w:val="18"/>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175260</wp:posOffset>
              </wp:positionV>
              <wp:extent cx="5262880" cy="0"/>
              <wp:effectExtent l="0" t="6350" r="0" b="6350"/>
              <wp:wrapNone/>
              <wp:docPr id="1" name="直接连接符 1"/>
              <wp:cNvGraphicFramePr/>
              <a:graphic xmlns:a="http://schemas.openxmlformats.org/drawingml/2006/main">
                <a:graphicData uri="http://schemas.microsoft.com/office/word/2010/wordprocessingShape">
                  <wps:wsp>
                    <wps:cNvCnPr/>
                    <wps:spPr>
                      <a:xfrm>
                        <a:off x="1144905" y="677545"/>
                        <a:ext cx="526288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75pt;margin-top:13.8pt;height:0pt;width:414.4pt;z-index:251659264;mso-width-relative:page;mso-height-relative:page;" filled="f" stroked="t" coordsize="21600,21600" o:gfxdata="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knq9HVAAAABwEAAA8AAAAAAAAAAQAgAAAAIgAAAGRycy9kb3ducmV2LnhtbFBLAQIUABQAAAAI&#10;AIdO4kCc8PaT8AEAAL0DAAAOAAAAAAAAAAEAIAAAACQBAABkcnMvZTJvRG9jLnhtbFBLBQYAAAAA&#10;BgAGAFkBAACGBQAAAAA=&#10;">
              <v:fill on="f" focussize="0,0"/>
              <v:stroke weight="1pt" color="#000000 [3213]" miterlimit="8" joinstyle="miter"/>
              <v:imagedata o:title=""/>
              <o:lock v:ext="edit" aspectratio="f"/>
            </v:line>
          </w:pict>
        </mc:Fallback>
      </mc:AlternateContent>
    </w:r>
    <w:r>
      <w:rPr>
        <w:rFonts w:hint="eastAsia" w:asciiTheme="minorEastAsia" w:hAnsiTheme="minorEastAsia" w:eastAsiaTheme="minorEastAsia" w:cstheme="minorEastAsia"/>
        <w:b w:val="0"/>
        <w:bCs w:val="0"/>
        <w:sz w:val="18"/>
        <w:szCs w:val="18"/>
        <w:lang w:val="en-US" w:eastAsia="zh-CN"/>
      </w:rPr>
      <w:t>中国石油化工股份有限公司安庆分公司增设甲醇水路进厂流程项目</w:t>
    </w:r>
    <w:r>
      <w:rPr>
        <w:rFonts w:hint="eastAsia" w:asciiTheme="minorEastAsia" w:hAnsiTheme="minorEastAsia" w:eastAsiaTheme="minorEastAsia" w:cstheme="minorEastAsia"/>
        <w:b w:val="0"/>
        <w:bCs w:val="0"/>
        <w:sz w:val="18"/>
        <w:szCs w:val="18"/>
        <w:lang w:eastAsia="zh-CN"/>
      </w:rPr>
      <w:t>竣工环境保护验收其他需要说明的事项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xMzM2MWU0NjEzNWY5YWM3NDdhYTAxZjI5NWZhMDkifQ=="/>
  </w:docVars>
  <w:rsids>
    <w:rsidRoot w:val="00000000"/>
    <w:rsid w:val="000D0072"/>
    <w:rsid w:val="00795019"/>
    <w:rsid w:val="017716F4"/>
    <w:rsid w:val="0555191A"/>
    <w:rsid w:val="073C1416"/>
    <w:rsid w:val="080D2B23"/>
    <w:rsid w:val="0DB17C32"/>
    <w:rsid w:val="0F0E73B0"/>
    <w:rsid w:val="15C41E3F"/>
    <w:rsid w:val="16132D8A"/>
    <w:rsid w:val="1754608B"/>
    <w:rsid w:val="1AC36156"/>
    <w:rsid w:val="1B3F75E1"/>
    <w:rsid w:val="1EE2038B"/>
    <w:rsid w:val="1F76405B"/>
    <w:rsid w:val="1F8D14F9"/>
    <w:rsid w:val="213F3B84"/>
    <w:rsid w:val="215B28F4"/>
    <w:rsid w:val="22BB3022"/>
    <w:rsid w:val="244A4386"/>
    <w:rsid w:val="24EB798C"/>
    <w:rsid w:val="250A26FB"/>
    <w:rsid w:val="2524556B"/>
    <w:rsid w:val="276A1E5C"/>
    <w:rsid w:val="27BB1A8B"/>
    <w:rsid w:val="28226813"/>
    <w:rsid w:val="2A963776"/>
    <w:rsid w:val="2ABE1FBE"/>
    <w:rsid w:val="2B1214D0"/>
    <w:rsid w:val="2BE204D7"/>
    <w:rsid w:val="2CA91D2C"/>
    <w:rsid w:val="2F8E27AD"/>
    <w:rsid w:val="31F01324"/>
    <w:rsid w:val="32504358"/>
    <w:rsid w:val="3276221B"/>
    <w:rsid w:val="34541E69"/>
    <w:rsid w:val="35B675F4"/>
    <w:rsid w:val="3921709A"/>
    <w:rsid w:val="3AFC1EC2"/>
    <w:rsid w:val="3B956940"/>
    <w:rsid w:val="3CDF72E7"/>
    <w:rsid w:val="44E718D9"/>
    <w:rsid w:val="472410DE"/>
    <w:rsid w:val="47947ED7"/>
    <w:rsid w:val="48026722"/>
    <w:rsid w:val="48726A34"/>
    <w:rsid w:val="4B140DC1"/>
    <w:rsid w:val="4F574D03"/>
    <w:rsid w:val="56152E93"/>
    <w:rsid w:val="5CBB38FD"/>
    <w:rsid w:val="5D285D3B"/>
    <w:rsid w:val="5D6C2117"/>
    <w:rsid w:val="5ED52E57"/>
    <w:rsid w:val="5F9A22F5"/>
    <w:rsid w:val="5FD34904"/>
    <w:rsid w:val="5FEC2069"/>
    <w:rsid w:val="61D83FE7"/>
    <w:rsid w:val="62E311FD"/>
    <w:rsid w:val="66DF4FC7"/>
    <w:rsid w:val="67987071"/>
    <w:rsid w:val="68105BFA"/>
    <w:rsid w:val="6A60704D"/>
    <w:rsid w:val="6BD31C59"/>
    <w:rsid w:val="6D42094F"/>
    <w:rsid w:val="6F7750B3"/>
    <w:rsid w:val="723134A7"/>
    <w:rsid w:val="72FD5B8F"/>
    <w:rsid w:val="74FB4C36"/>
    <w:rsid w:val="750A283C"/>
    <w:rsid w:val="787D7956"/>
    <w:rsid w:val="7947086B"/>
    <w:rsid w:val="7AC96FFD"/>
    <w:rsid w:val="7FA43819"/>
    <w:rsid w:val="7FDC2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afterLines="0"/>
    </w:pPr>
    <w:rPr>
      <w:rFonts w:ascii="Tahoma" w:hAnsi="Tahoma" w:eastAsia="微软雅黑" w:cstheme="minorBidi"/>
      <w:sz w:val="22"/>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widowControl w:val="0"/>
      <w:adjustRightInd/>
      <w:snapToGrid/>
      <w:spacing w:after="0" w:afterLines="0" w:line="360" w:lineRule="exact"/>
      <w:jc w:val="both"/>
      <w:outlineLvl w:val="1"/>
    </w:pPr>
    <w:rPr>
      <w:rFonts w:ascii="Times New Roman" w:hAnsi="Times New Roman" w:eastAsia="宋体" w:cs="Times New Roman"/>
      <w:bCs/>
      <w:kern w:val="2"/>
      <w:sz w:val="21"/>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5">
    <w:name w:val="Body Text Indent"/>
    <w:basedOn w:val="1"/>
    <w:next w:val="6"/>
    <w:qFormat/>
    <w:uiPriority w:val="0"/>
    <w:pPr>
      <w:spacing w:after="120"/>
      <w:ind w:left="420" w:leftChars="200"/>
    </w:pPr>
  </w:style>
  <w:style w:type="paragraph" w:styleId="6">
    <w:name w:val="Body Text Indent 2"/>
    <w:basedOn w:val="1"/>
    <w:next w:val="7"/>
    <w:qFormat/>
    <w:uiPriority w:val="0"/>
    <w:pPr>
      <w:spacing w:line="400" w:lineRule="exact"/>
      <w:ind w:firstLine="570"/>
    </w:pPr>
    <w:rPr>
      <w:color w:val="000000"/>
      <w:sz w:val="28"/>
    </w:rPr>
  </w:style>
  <w:style w:type="paragraph" w:styleId="7">
    <w:name w:val="Body Text First Indent 2"/>
    <w:basedOn w:val="5"/>
    <w:next w:val="1"/>
    <w:qFormat/>
    <w:uiPriority w:val="0"/>
    <w:pPr>
      <w:ind w:firstLine="420" w:firstLineChars="200"/>
    </w:pPr>
  </w:style>
  <w:style w:type="paragraph" w:styleId="8">
    <w:name w:val="Block Text"/>
    <w:basedOn w:val="1"/>
    <w:unhideWhenUsed/>
    <w:qFormat/>
    <w:uiPriority w:val="0"/>
    <w:pPr>
      <w:adjustRightInd w:val="0"/>
      <w:snapToGrid w:val="0"/>
      <w:spacing w:line="500" w:lineRule="exact"/>
      <w:ind w:left="147" w:leftChars="70" w:right="160" w:rightChars="76" w:firstLine="480" w:firstLineChars="200"/>
    </w:pPr>
    <w:rPr>
      <w:rFonts w:ascii="宋体" w:hAnsi="宋体"/>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index heading"/>
    <w:basedOn w:val="1"/>
    <w:next w:val="12"/>
    <w:semiHidden/>
    <w:qFormat/>
    <w:uiPriority w:val="0"/>
    <w:rPr>
      <w:rFonts w:ascii="Arial" w:hAnsi="Arial" w:cs="Arial"/>
      <w:b/>
      <w:bCs/>
    </w:rPr>
  </w:style>
  <w:style w:type="paragraph" w:styleId="12">
    <w:name w:val="index 1"/>
    <w:basedOn w:val="1"/>
    <w:next w:val="1"/>
    <w:qFormat/>
    <w:uiPriority w:val="0"/>
    <w:pPr>
      <w:spacing w:line="500" w:lineRule="exact"/>
      <w:jc w:val="center"/>
    </w:pPr>
    <w:rPr>
      <w:rFonts w:eastAsia="仿宋_GB2312"/>
      <w:sz w:val="24"/>
      <w:szCs w:val="20"/>
    </w:rPr>
  </w:style>
  <w:style w:type="paragraph" w:styleId="13">
    <w:name w:val="toc 9"/>
    <w:next w:val="1"/>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Default"/>
    <w:basedOn w:val="19"/>
    <w:next w:val="20"/>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文本"/>
    <w:basedOn w:val="1"/>
    <w:next w:val="1"/>
    <w:qFormat/>
    <w:uiPriority w:val="0"/>
    <w:pPr>
      <w:autoSpaceDE w:val="0"/>
      <w:autoSpaceDN w:val="0"/>
      <w:ind w:firstLine="480"/>
    </w:pPr>
    <w:rPr>
      <w:rFonts w:cs="Times New Roman"/>
      <w:szCs w:val="24"/>
      <w:lang w:val="zh-CN"/>
    </w:rPr>
  </w:style>
  <w:style w:type="paragraph" w:customStyle="1" w:styleId="20">
    <w:name w:val="样式1"/>
    <w:basedOn w:val="11"/>
    <w:next w:val="8"/>
    <w:qFormat/>
    <w:uiPriority w:val="0"/>
    <w:pPr>
      <w:spacing w:line="360" w:lineRule="auto"/>
      <w:jc w:val="center"/>
    </w:pPr>
    <w:rPr>
      <w:rFonts w:ascii="宋体"/>
      <w:b w:val="0"/>
      <w:bCs w:val="0"/>
      <w:color w:val="000000"/>
      <w:szCs w:val="20"/>
    </w:rPr>
  </w:style>
  <w:style w:type="paragraph" w:customStyle="1" w:styleId="2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2">
    <w:name w:val="Normal (Web)"/>
    <w:basedOn w:val="1"/>
    <w:qFormat/>
    <w:uiPriority w:val="0"/>
    <w:pPr>
      <w:adjustRightInd/>
      <w:snapToGrid/>
      <w:spacing w:before="100" w:beforeLines="0" w:beforeAutospacing="1" w:after="100" w:afterLines="0" w:afterAutospacing="1"/>
    </w:pPr>
    <w:rPr>
      <w:rFonts w:ascii="宋体" w:hAnsi="宋体" w:eastAsia="宋体" w:cs="宋体"/>
      <w:sz w:val="24"/>
      <w:szCs w:val="24"/>
    </w:rPr>
  </w:style>
  <w:style w:type="paragraph" w:customStyle="1" w:styleId="23">
    <w:name w:val="本文正文"/>
    <w:basedOn w:val="1"/>
    <w:qFormat/>
    <w:uiPriority w:val="0"/>
    <w:pPr>
      <w:autoSpaceDE w:val="0"/>
      <w:autoSpaceDN w:val="0"/>
      <w:adjustRightInd w:val="0"/>
      <w:spacing w:line="300" w:lineRule="auto"/>
      <w:ind w:firstLine="560" w:firstLineChars="200"/>
      <w:textAlignment w:val="baseline"/>
    </w:pPr>
    <w:rPr>
      <w:sz w:val="28"/>
      <w:szCs w:val="20"/>
    </w:rPr>
  </w:style>
  <w:style w:type="paragraph" w:customStyle="1" w:styleId="24">
    <w:name w:val="报告"/>
    <w:basedOn w:val="1"/>
    <w:qFormat/>
    <w:uiPriority w:val="0"/>
    <w:pPr>
      <w:overflowPunct w:val="0"/>
      <w:autoSpaceDE w:val="0"/>
      <w:autoSpaceDN w:val="0"/>
      <w:adjustRightInd w:val="0"/>
      <w:spacing w:line="400" w:lineRule="atLeast"/>
      <w:ind w:left="400" w:leftChars="400"/>
    </w:pPr>
    <w:rPr>
      <w:kern w:val="0"/>
      <w:sz w:val="24"/>
    </w:rPr>
  </w:style>
  <w:style w:type="paragraph" w:customStyle="1" w:styleId="25">
    <w:name w:val="正文1111"/>
    <w:basedOn w:val="1"/>
    <w:qFormat/>
    <w:uiPriority w:val="0"/>
    <w:pPr>
      <w:spacing w:line="360" w:lineRule="auto"/>
      <w:ind w:firstLine="480" w:firstLineChars="200"/>
      <w:jc w:val="left"/>
    </w:pPr>
    <w:rPr>
      <w:rFonts w:cs="宋体"/>
      <w:snapToGrid w:val="0"/>
      <w:kern w:val="24"/>
      <w:sz w:val="24"/>
      <w:szCs w:val="24"/>
    </w:rPr>
  </w:style>
  <w:style w:type="paragraph" w:customStyle="1" w:styleId="26">
    <w:name w:val="W正文"/>
    <w:basedOn w:val="1"/>
    <w:qFormat/>
    <w:uiPriority w:val="0"/>
    <w:rPr>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655</Words>
  <Characters>723</Characters>
  <Lines>0</Lines>
  <Paragraphs>0</Paragraphs>
  <TotalTime>3</TotalTime>
  <ScaleCrop>false</ScaleCrop>
  <LinksUpToDate>false</LinksUpToDate>
  <CharactersWithSpaces>723</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唐黎明</cp:lastModifiedBy>
  <dcterms:modified xsi:type="dcterms:W3CDTF">2026-10-30T07:09:54Z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6C7BCAC7C23F4FF89937E5753A1AB5A8</vt:lpwstr>
  </property>
  <property fmtid="{D5CDD505-2E9C-101B-9397-08002B2CF9AE}" pid="4" name="KSOTemplateDocerSaveRecord">
    <vt:lpwstr>eyJoZGlkIjoiMTk1ZmYyNzAwM2IyZTU2MjBjNzU1YzVmNzU3N2Q5Y2MiLCJ1c2VySWQiOiI0MzA4MzUyNjIifQ==</vt:lpwstr>
  </property>
</Properties>
</file>